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DEB79" w14:textId="0D69CF1A" w:rsidR="00D14420" w:rsidRPr="00286493" w:rsidRDefault="00D14420" w:rsidP="006D6803">
      <w:pPr>
        <w:pStyle w:val="Nagwek1"/>
        <w:rPr>
          <w:rFonts w:ascii="Arial" w:hAnsi="Arial" w:cs="Arial"/>
          <w:bCs/>
          <w:sz w:val="20"/>
        </w:rPr>
      </w:pPr>
      <w:r w:rsidRPr="00286493">
        <w:rPr>
          <w:rFonts w:ascii="Arial" w:hAnsi="Arial" w:cs="Arial"/>
          <w:bCs/>
          <w:sz w:val="20"/>
        </w:rPr>
        <w:t xml:space="preserve">Zał. Nr </w:t>
      </w:r>
      <w:r w:rsidR="000119C6" w:rsidRPr="00286493">
        <w:rPr>
          <w:rFonts w:ascii="Arial" w:hAnsi="Arial" w:cs="Arial"/>
          <w:bCs/>
          <w:sz w:val="20"/>
        </w:rPr>
        <w:t>1</w:t>
      </w:r>
      <w:r w:rsidRPr="00286493">
        <w:rPr>
          <w:rFonts w:ascii="Arial" w:hAnsi="Arial" w:cs="Arial"/>
          <w:bCs/>
          <w:sz w:val="20"/>
        </w:rPr>
        <w:t xml:space="preserve"> do </w:t>
      </w:r>
      <w:r w:rsidR="000119C6" w:rsidRPr="00286493">
        <w:rPr>
          <w:rFonts w:ascii="Arial" w:hAnsi="Arial" w:cs="Arial"/>
          <w:bCs/>
          <w:sz w:val="20"/>
        </w:rPr>
        <w:t>SWZ</w:t>
      </w:r>
    </w:p>
    <w:p w14:paraId="3B4F328F" w14:textId="77777777" w:rsidR="00D14420" w:rsidRPr="00286493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14:paraId="68537B3A" w14:textId="77777777" w:rsidR="00D14420" w:rsidRPr="00286493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286493">
        <w:rPr>
          <w:b/>
          <w:sz w:val="24"/>
          <w:szCs w:val="24"/>
          <w:lang w:eastAsia="zh-CN"/>
        </w:rPr>
        <w:t>OPIS PRZEDMIOTU ZAMÓWIENIA</w:t>
      </w:r>
    </w:p>
    <w:p w14:paraId="65AB53C2" w14:textId="77777777" w:rsidR="00D14420" w:rsidRPr="00286493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14:paraId="25AE88BA" w14:textId="1E7E7C00" w:rsidR="000A195E" w:rsidRPr="00286493" w:rsidRDefault="00663284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„</w:t>
      </w:r>
      <w:r w:rsidR="00457656" w:rsidRPr="00286493">
        <w:rPr>
          <w:rFonts w:ascii="Arial" w:hAnsi="Arial" w:cs="Arial"/>
          <w:b/>
          <w:i/>
          <w:sz w:val="24"/>
          <w:szCs w:val="24"/>
        </w:rPr>
        <w:t xml:space="preserve">Dostawa </w:t>
      </w:r>
      <w:r w:rsidR="00B37234">
        <w:rPr>
          <w:rFonts w:ascii="Arial" w:hAnsi="Arial" w:cs="Arial"/>
          <w:b/>
          <w:i/>
          <w:sz w:val="24"/>
          <w:szCs w:val="24"/>
        </w:rPr>
        <w:t>samochodu specjalnego lekkiego rozpoznawczo-ratowniczego typu pickup</w:t>
      </w:r>
    </w:p>
    <w:p w14:paraId="78B924B2" w14:textId="2358D766" w:rsidR="00BB704E" w:rsidRPr="00286493" w:rsidRDefault="000A195E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 xml:space="preserve">dla Komendy Powiatowej Państwowej Straży Pożarnej </w:t>
      </w:r>
      <w:r w:rsidR="00286493" w:rsidRPr="00286493">
        <w:rPr>
          <w:rFonts w:ascii="Arial" w:hAnsi="Arial" w:cs="Arial"/>
          <w:b/>
          <w:i/>
          <w:sz w:val="24"/>
          <w:szCs w:val="24"/>
        </w:rPr>
        <w:t xml:space="preserve">powiatu łódzkiego wschodniego </w:t>
      </w:r>
      <w:r w:rsidRPr="00286493">
        <w:rPr>
          <w:rFonts w:ascii="Arial" w:hAnsi="Arial" w:cs="Arial"/>
          <w:b/>
          <w:i/>
          <w:sz w:val="24"/>
          <w:szCs w:val="24"/>
        </w:rPr>
        <w:t xml:space="preserve">w </w:t>
      </w:r>
      <w:r w:rsidR="00471B2D" w:rsidRPr="00286493">
        <w:rPr>
          <w:rFonts w:ascii="Arial" w:hAnsi="Arial" w:cs="Arial"/>
          <w:b/>
          <w:i/>
          <w:sz w:val="24"/>
          <w:szCs w:val="24"/>
        </w:rPr>
        <w:t>Koluszkach</w:t>
      </w:r>
      <w:r w:rsidR="00BB704E" w:rsidRPr="00286493">
        <w:rPr>
          <w:rFonts w:ascii="Arial" w:hAnsi="Arial" w:cs="Arial"/>
          <w:b/>
          <w:i/>
          <w:sz w:val="24"/>
          <w:szCs w:val="24"/>
        </w:rPr>
        <w:t>”</w:t>
      </w:r>
    </w:p>
    <w:p w14:paraId="71C1BE17" w14:textId="77777777" w:rsidR="00D14420" w:rsidRPr="00286493" w:rsidRDefault="00BB704E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14:paraId="30A67B42" w14:textId="77777777" w:rsidR="003E25C5" w:rsidRPr="00286493" w:rsidRDefault="003E25C5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Oferta techniczna.</w:t>
      </w:r>
    </w:p>
    <w:p w14:paraId="7DD35309" w14:textId="77777777" w:rsidR="00D14420" w:rsidRPr="00286493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286493" w:rsidRPr="00286493" w14:paraId="79C3A92C" w14:textId="77777777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2F258C16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E7BFFBC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14:paraId="060E9DAD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Propozycja Wykonawcy</w:t>
            </w:r>
          </w:p>
        </w:tc>
      </w:tr>
      <w:tr w:rsidR="00286493" w:rsidRPr="00286493" w14:paraId="50D041DF" w14:textId="77777777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623DE715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7BD6F242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14:paraId="0018C1D2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3.</w:t>
            </w:r>
          </w:p>
        </w:tc>
      </w:tr>
      <w:tr w:rsidR="00286493" w:rsidRPr="00286493" w14:paraId="466874DE" w14:textId="77777777" w:rsidTr="005B687A">
        <w:tc>
          <w:tcPr>
            <w:tcW w:w="796" w:type="dxa"/>
          </w:tcPr>
          <w:p w14:paraId="607BE4C6" w14:textId="77777777" w:rsidR="00BB704E" w:rsidRPr="00286493" w:rsidRDefault="00BB704E" w:rsidP="008E4DBF">
            <w:pPr>
              <w:jc w:val="center"/>
            </w:pPr>
            <w:r w:rsidRPr="00286493">
              <w:t>1.</w:t>
            </w:r>
          </w:p>
        </w:tc>
        <w:tc>
          <w:tcPr>
            <w:tcW w:w="10539" w:type="dxa"/>
            <w:vAlign w:val="center"/>
          </w:tcPr>
          <w:p w14:paraId="0C046277" w14:textId="0936ECE6" w:rsidR="00BB704E" w:rsidRPr="00286493" w:rsidRDefault="00BB704E">
            <w:pPr>
              <w:pStyle w:val="NormalnyWeb"/>
              <w:spacing w:before="0" w:beforeAutospacing="0" w:after="0" w:afterAutospacing="0"/>
              <w:jc w:val="both"/>
            </w:pPr>
            <w:r w:rsidRPr="00286493">
              <w:rPr>
                <w:sz w:val="20"/>
                <w:szCs w:val="20"/>
              </w:rPr>
              <w:t>Pojazd musi spełniać wymagania polskich przepisów o ruchu drogowym z uwzględnieniem wymagań dotyczących pojazdów uprzywilejowanych zgodnie z ustawą z dnia 20 czerwca 1997 r. - Prawo o ruchu drogowym (Dz. U. z 2024 r. poz. 1251) oraz wymagania zawarte w rozporządzeniu Ministra Infrastruktury z dnia 31 grudnia 2002 r. w sprawie warunków technicznych pojazdów oraz zakresu ich niezbędnego wyposażenia (Dz. U. z 2024 r. poz. 502). </w:t>
            </w:r>
          </w:p>
        </w:tc>
        <w:tc>
          <w:tcPr>
            <w:tcW w:w="2127" w:type="dxa"/>
          </w:tcPr>
          <w:p w14:paraId="1F421D3D" w14:textId="45E0E3EE" w:rsidR="00BB704E" w:rsidRPr="00286493" w:rsidRDefault="00286493" w:rsidP="008E4DBF">
            <w:pPr>
              <w:jc w:val="both"/>
            </w:pPr>
            <w:r>
              <w:t>Spełnia/Nie spełnia</w:t>
            </w:r>
          </w:p>
        </w:tc>
      </w:tr>
      <w:tr w:rsidR="00286493" w:rsidRPr="00286493" w14:paraId="0F206639" w14:textId="77777777" w:rsidTr="008E4DBF">
        <w:trPr>
          <w:trHeight w:val="381"/>
        </w:trPr>
        <w:tc>
          <w:tcPr>
            <w:tcW w:w="796" w:type="dxa"/>
          </w:tcPr>
          <w:p w14:paraId="2099B0A6" w14:textId="77777777" w:rsidR="00BB704E" w:rsidRPr="00286493" w:rsidRDefault="00BB704E" w:rsidP="008E4DBF">
            <w:pPr>
              <w:jc w:val="center"/>
            </w:pPr>
            <w:r w:rsidRPr="00286493">
              <w:t>3.</w:t>
            </w:r>
          </w:p>
        </w:tc>
        <w:tc>
          <w:tcPr>
            <w:tcW w:w="10539" w:type="dxa"/>
          </w:tcPr>
          <w:p w14:paraId="431A91DE" w14:textId="42D35B86" w:rsidR="00BB704E" w:rsidRPr="00286493" w:rsidRDefault="00BB704E" w:rsidP="00BB704E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Pojazd fabrycznie nowy, przystosowany do ruchu prawostronnego (kierownica po lewej stronie). </w:t>
            </w:r>
            <w:r w:rsidR="00274379" w:rsidRPr="00286493">
              <w:rPr>
                <w:kern w:val="24"/>
              </w:rPr>
              <w:t>Rok produkcji nie wcześniejszy niż 202</w:t>
            </w:r>
            <w:r w:rsidR="00237A8E">
              <w:rPr>
                <w:kern w:val="24"/>
              </w:rPr>
              <w:t>4</w:t>
            </w:r>
            <w:r w:rsidR="00274379" w:rsidRPr="00286493">
              <w:rPr>
                <w:kern w:val="24"/>
              </w:rPr>
              <w:t xml:space="preserve"> </w:t>
            </w:r>
            <w:r w:rsidR="00F6587D" w:rsidRPr="00286493">
              <w:rPr>
                <w:kern w:val="24"/>
              </w:rPr>
              <w:t>r.</w:t>
            </w:r>
            <w:r w:rsidRPr="00286493">
              <w:rPr>
                <w:kern w:val="24"/>
              </w:rPr>
              <w:t xml:space="preserve"> </w:t>
            </w:r>
            <w:r w:rsidR="00903C81" w:rsidRPr="00231C1C">
              <w:rPr>
                <w:kern w:val="24"/>
              </w:rPr>
              <w:t>Rok produkcji nie wcześniejszy niż 2025 r. Zamawiający dopuszcza zaoferowanie pojazdu zarejestrowanego jednokrotnie na dealera.</w:t>
            </w:r>
          </w:p>
          <w:p w14:paraId="6D5AC903" w14:textId="77777777" w:rsidR="00BB704E" w:rsidRPr="00286493" w:rsidRDefault="00BB704E" w:rsidP="00BB704E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Pojazd bazowy musi posiadać świadectwo homologacji wystawione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zmieniającym rozporządzenie (WE) nr 715/2007 i (WE) nr 595/2009 oraz uchylającym dyrektywę 2007/46/WE. Spełnienie wymogu musi być potwierdzone załączoną kopią dopuszczonego prawem dokumentu wystawionego przez producenta/importera pojazdu. Dokumenty potwierdzające spełnienie wymogu muszą być przekazane Zamawiającemu przez Wykonawcę najpóźniej w dniu odbioru techniczno-jakościowego.</w:t>
            </w:r>
          </w:p>
        </w:tc>
        <w:tc>
          <w:tcPr>
            <w:tcW w:w="2127" w:type="dxa"/>
          </w:tcPr>
          <w:p w14:paraId="4EDE7059" w14:textId="77777777" w:rsidR="00BB704E" w:rsidRPr="00286493" w:rsidRDefault="00BB704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  <w:r w:rsidRPr="00286493">
              <w:rPr>
                <w:i/>
                <w:kern w:val="24"/>
                <w:sz w:val="16"/>
              </w:rPr>
              <w:t>Należy podać markę, typ i model oferowanego pojazdu bazowego.</w:t>
            </w:r>
          </w:p>
          <w:p w14:paraId="4688F4B4" w14:textId="77777777" w:rsidR="00BB704E" w:rsidRPr="00286493" w:rsidRDefault="00BB704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</w:p>
        </w:tc>
      </w:tr>
      <w:tr w:rsidR="00286493" w:rsidRPr="00286493" w14:paraId="5C91B23E" w14:textId="77777777" w:rsidTr="008E4DBF">
        <w:trPr>
          <w:trHeight w:val="693"/>
        </w:trPr>
        <w:tc>
          <w:tcPr>
            <w:tcW w:w="796" w:type="dxa"/>
          </w:tcPr>
          <w:p w14:paraId="68FE6176" w14:textId="77777777" w:rsidR="00BB704E" w:rsidRPr="00286493" w:rsidRDefault="00BB704E" w:rsidP="008E4DBF">
            <w:pPr>
              <w:jc w:val="center"/>
            </w:pPr>
            <w:r w:rsidRPr="00286493">
              <w:t>4.</w:t>
            </w:r>
          </w:p>
        </w:tc>
        <w:tc>
          <w:tcPr>
            <w:tcW w:w="10539" w:type="dxa"/>
          </w:tcPr>
          <w:p w14:paraId="01EDD406" w14:textId="77777777" w:rsidR="00BB704E" w:rsidRPr="00286493" w:rsidRDefault="00BB704E" w:rsidP="00BB704E">
            <w:pPr>
              <w:jc w:val="both"/>
            </w:pPr>
            <w:r w:rsidRPr="00286493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286493">
              <w:rPr>
                <w:kern w:val="24"/>
              </w:rPr>
              <w:br/>
              <w:t xml:space="preserve">-25 </w:t>
            </w:r>
            <w:proofErr w:type="spellStart"/>
            <w:r w:rsidRPr="00286493">
              <w:rPr>
                <w:kern w:val="24"/>
                <w:vertAlign w:val="superscript"/>
              </w:rPr>
              <w:t>o</w:t>
            </w:r>
            <w:r w:rsidRPr="00286493">
              <w:rPr>
                <w:kern w:val="24"/>
              </w:rPr>
              <w:t>C</w:t>
            </w:r>
            <w:proofErr w:type="spellEnd"/>
            <w:r w:rsidRPr="00286493">
              <w:rPr>
                <w:kern w:val="24"/>
              </w:rPr>
              <w:t xml:space="preserve"> do +</w:t>
            </w:r>
            <w:r w:rsidR="00D96DA6" w:rsidRPr="00286493">
              <w:rPr>
                <w:kern w:val="24"/>
              </w:rPr>
              <w:t xml:space="preserve"> 50 </w:t>
            </w:r>
            <w:r w:rsidR="00D96DA6" w:rsidRPr="00286493">
              <w:rPr>
                <w:kern w:val="24"/>
                <w:vertAlign w:val="superscript"/>
              </w:rPr>
              <w:t>0</w:t>
            </w:r>
            <w:r w:rsidR="00D96DA6" w:rsidRPr="00286493">
              <w:rPr>
                <w:kern w:val="24"/>
              </w:rPr>
              <w:t>C</w:t>
            </w:r>
            <w:r w:rsidRPr="00286493">
              <w:rPr>
                <w:kern w:val="24"/>
              </w:rPr>
              <w:t xml:space="preserve">. </w:t>
            </w:r>
            <w:r w:rsidRPr="00286493">
              <w:t>Spełnienie powyższych wymagań musi być potwierdzone oświadczeniem Wykonawcy, przekazanym Zamawiającemu najpóźniej w dniu odbioru techniczno-jakościowego.</w:t>
            </w:r>
          </w:p>
          <w:p w14:paraId="1BEB89BA" w14:textId="0B13B5C6" w:rsidR="00BB704E" w:rsidRPr="00286493" w:rsidRDefault="00BB704E" w:rsidP="00056295">
            <w:pPr>
              <w:jc w:val="both"/>
            </w:pPr>
            <w:r w:rsidRPr="00286493">
              <w:t xml:space="preserve">Silnik o pojemności skokowej nie mniejszej </w:t>
            </w:r>
            <w:r w:rsidRPr="00903C81">
              <w:t xml:space="preserve">niż 1950 cm3, spełniający obowiązujące na dzień odbioru pojazdu wymogi prawne w zakresie czystości spalin. </w:t>
            </w:r>
            <w:r w:rsidR="00056295" w:rsidRPr="00903C81">
              <w:t>M</w:t>
            </w:r>
            <w:r w:rsidRPr="00903C81">
              <w:t>oc silnika minimum 1</w:t>
            </w:r>
            <w:r w:rsidR="00237A8E" w:rsidRPr="00903C81">
              <w:t>5</w:t>
            </w:r>
            <w:r w:rsidR="00903C81" w:rsidRPr="00903C81">
              <w:t>0</w:t>
            </w:r>
            <w:r w:rsidRPr="00903C81">
              <w:t xml:space="preserve"> </w:t>
            </w:r>
            <w:proofErr w:type="spellStart"/>
            <w:r w:rsidRPr="00903C81">
              <w:t>kW.</w:t>
            </w:r>
            <w:proofErr w:type="spellEnd"/>
          </w:p>
        </w:tc>
        <w:tc>
          <w:tcPr>
            <w:tcW w:w="2127" w:type="dxa"/>
          </w:tcPr>
          <w:p w14:paraId="360F6A1B" w14:textId="41EF1415" w:rsidR="002B58E5" w:rsidRPr="00286493" w:rsidRDefault="002B58E5" w:rsidP="002B58E5">
            <w:pPr>
              <w:pStyle w:val="docdata"/>
              <w:spacing w:before="0" w:beforeAutospacing="0" w:after="0" w:afterAutospacing="0"/>
              <w:jc w:val="both"/>
            </w:pPr>
            <w:r w:rsidRPr="00286493">
              <w:rPr>
                <w:i/>
                <w:iCs/>
                <w:sz w:val="16"/>
                <w:szCs w:val="16"/>
              </w:rPr>
              <w:t>Należy podać typ, pojemność skokową w cm</w:t>
            </w:r>
            <w:r w:rsidRPr="00286493">
              <w:rPr>
                <w:i/>
                <w:iCs/>
                <w:sz w:val="16"/>
                <w:szCs w:val="16"/>
                <w:vertAlign w:val="superscript"/>
              </w:rPr>
              <w:t>3</w:t>
            </w:r>
            <w:r w:rsidRPr="00286493">
              <w:rPr>
                <w:i/>
                <w:iCs/>
                <w:sz w:val="16"/>
                <w:szCs w:val="16"/>
              </w:rPr>
              <w:t>, maksymalną moc silnika w kW oraz rodzaj stosowanego paliwa.</w:t>
            </w:r>
          </w:p>
          <w:p w14:paraId="08666DDF" w14:textId="77777777" w:rsidR="00BB704E" w:rsidRPr="00286493" w:rsidRDefault="00BB704E" w:rsidP="002B58E5">
            <w:pPr>
              <w:jc w:val="both"/>
            </w:pPr>
          </w:p>
        </w:tc>
      </w:tr>
      <w:tr w:rsidR="00286493" w:rsidRPr="00286493" w14:paraId="3B025447" w14:textId="77777777" w:rsidTr="009C6607">
        <w:tc>
          <w:tcPr>
            <w:tcW w:w="796" w:type="dxa"/>
          </w:tcPr>
          <w:p w14:paraId="5C6FD122" w14:textId="77777777" w:rsidR="00587419" w:rsidRPr="00286493" w:rsidRDefault="00587419" w:rsidP="008E4DBF">
            <w:pPr>
              <w:jc w:val="center"/>
            </w:pPr>
            <w:r w:rsidRPr="00286493">
              <w:t>5.</w:t>
            </w:r>
          </w:p>
        </w:tc>
        <w:tc>
          <w:tcPr>
            <w:tcW w:w="10539" w:type="dxa"/>
            <w:vAlign w:val="center"/>
          </w:tcPr>
          <w:p w14:paraId="48B6F2AC" w14:textId="51661F43" w:rsidR="00587419" w:rsidRPr="00903C81" w:rsidRDefault="00587419" w:rsidP="00056295">
            <w:pPr>
              <w:pStyle w:val="NormalnyWeb"/>
              <w:spacing w:before="0" w:beforeAutospacing="0" w:after="0" w:afterAutospacing="0"/>
              <w:jc w:val="both"/>
            </w:pPr>
            <w:r w:rsidRPr="00903C81">
              <w:rPr>
                <w:sz w:val="20"/>
                <w:szCs w:val="20"/>
              </w:rPr>
              <w:t xml:space="preserve">Kategoria pojazdu: </w:t>
            </w:r>
            <w:r w:rsidR="00237A8E" w:rsidRPr="00903C81">
              <w:rPr>
                <w:sz w:val="20"/>
                <w:szCs w:val="20"/>
              </w:rPr>
              <w:t>ciężarowy</w:t>
            </w:r>
            <w:r w:rsidRPr="00903C81">
              <w:rPr>
                <w:sz w:val="20"/>
                <w:szCs w:val="20"/>
              </w:rPr>
              <w:t xml:space="preserve">. </w:t>
            </w:r>
            <w:r w:rsidR="0007268B" w:rsidRPr="00903C81">
              <w:rPr>
                <w:sz w:val="20"/>
                <w:szCs w:val="20"/>
              </w:rPr>
              <w:t xml:space="preserve">Typ nadwozia </w:t>
            </w:r>
            <w:r w:rsidR="009354B1" w:rsidRPr="00903C81">
              <w:rPr>
                <w:sz w:val="20"/>
                <w:szCs w:val="20"/>
              </w:rPr>
              <w:t xml:space="preserve"> - terenowy samochód użytkowy z otwartą skrzynią ładunkową z tyłu „pickup”.</w:t>
            </w:r>
          </w:p>
        </w:tc>
        <w:tc>
          <w:tcPr>
            <w:tcW w:w="2127" w:type="dxa"/>
          </w:tcPr>
          <w:p w14:paraId="2D888AD9" w14:textId="77777777" w:rsidR="00587419" w:rsidRPr="00286493" w:rsidRDefault="00587419" w:rsidP="008E4DBF">
            <w:pPr>
              <w:jc w:val="both"/>
              <w:rPr>
                <w:kern w:val="24"/>
              </w:rPr>
            </w:pPr>
          </w:p>
          <w:p w14:paraId="6A4382EB" w14:textId="5E7377E9" w:rsidR="00587419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6D3C3B6E" w14:textId="77777777" w:rsidTr="000C5D21">
        <w:tc>
          <w:tcPr>
            <w:tcW w:w="796" w:type="dxa"/>
          </w:tcPr>
          <w:p w14:paraId="6367F8A4" w14:textId="77777777" w:rsidR="00056295" w:rsidRPr="00286493" w:rsidRDefault="00056295" w:rsidP="008E4DBF">
            <w:pPr>
              <w:jc w:val="center"/>
            </w:pPr>
            <w:r w:rsidRPr="00286493">
              <w:t>6.</w:t>
            </w:r>
          </w:p>
        </w:tc>
        <w:tc>
          <w:tcPr>
            <w:tcW w:w="10539" w:type="dxa"/>
          </w:tcPr>
          <w:p w14:paraId="26BA850B" w14:textId="43004378" w:rsidR="00056295" w:rsidRPr="00286493" w:rsidRDefault="00056295" w:rsidP="001F3AA0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Kolor fabryczny nadwozia</w:t>
            </w:r>
            <w:r w:rsidR="0007268B" w:rsidRPr="00286493">
              <w:rPr>
                <w:kern w:val="24"/>
              </w:rPr>
              <w:t>: cz</w:t>
            </w:r>
            <w:r w:rsidR="009354B1">
              <w:rPr>
                <w:kern w:val="24"/>
              </w:rPr>
              <w:t>arny</w:t>
            </w:r>
            <w:r w:rsidRPr="00286493">
              <w:rPr>
                <w:kern w:val="24"/>
              </w:rPr>
              <w:t>. Zderzaki, klamki w kolorze nadwozia</w:t>
            </w:r>
            <w:r w:rsidR="0007268B" w:rsidRPr="00286493">
              <w:rPr>
                <w:kern w:val="24"/>
              </w:rPr>
              <w:t xml:space="preserve"> (dopuszczalne w kolorz</w:t>
            </w:r>
            <w:r w:rsidR="009354B1">
              <w:rPr>
                <w:kern w:val="24"/>
              </w:rPr>
              <w:t>e srebrnym</w:t>
            </w:r>
            <w:r w:rsidR="0007268B" w:rsidRPr="00286493">
              <w:rPr>
                <w:kern w:val="24"/>
              </w:rPr>
              <w:t>)</w:t>
            </w:r>
            <w:r w:rsidRPr="00286493">
              <w:rPr>
                <w:kern w:val="24"/>
              </w:rPr>
              <w:t xml:space="preserve">. Materiały obiciowe siedzeń </w:t>
            </w:r>
            <w:r w:rsidR="0007268B" w:rsidRPr="00286493">
              <w:rPr>
                <w:kern w:val="24"/>
              </w:rPr>
              <w:t>wszystkim siedzeń</w:t>
            </w:r>
            <w:r w:rsidRPr="00286493">
              <w:rPr>
                <w:kern w:val="24"/>
              </w:rPr>
              <w:t xml:space="preserve"> oraz elementów wykończenia wnętrza pojazdu znajdujących się poniżej linii szyb muszą być wykonane w kolorze </w:t>
            </w:r>
            <w:r w:rsidR="009354B1">
              <w:rPr>
                <w:kern w:val="24"/>
              </w:rPr>
              <w:t>czarnym (ciemnoszarym)</w:t>
            </w:r>
            <w:r w:rsidR="0007268B" w:rsidRPr="00286493">
              <w:rPr>
                <w:kern w:val="24"/>
              </w:rPr>
              <w:t>)</w:t>
            </w:r>
            <w:r w:rsidRPr="00286493">
              <w:rPr>
                <w:kern w:val="24"/>
              </w:rPr>
              <w:t>,</w:t>
            </w:r>
            <w:r w:rsidR="00D56D99" w:rsidRPr="00286493">
              <w:rPr>
                <w:kern w:val="24"/>
              </w:rPr>
              <w:t xml:space="preserve"> </w:t>
            </w:r>
            <w:proofErr w:type="spellStart"/>
            <w:r w:rsidR="00D56D99" w:rsidRPr="00286493">
              <w:rPr>
                <w:kern w:val="24"/>
              </w:rPr>
              <w:t>łatwozmywalne</w:t>
            </w:r>
            <w:proofErr w:type="spellEnd"/>
            <w:r w:rsidR="00D56D99" w:rsidRPr="00286493">
              <w:rPr>
                <w:kern w:val="24"/>
              </w:rPr>
              <w:t>,</w:t>
            </w:r>
            <w:r w:rsidRPr="00286493">
              <w:rPr>
                <w:kern w:val="24"/>
              </w:rPr>
              <w:t xml:space="preserve"> łatwe w utrzymaniu w czystości.</w:t>
            </w:r>
          </w:p>
        </w:tc>
        <w:tc>
          <w:tcPr>
            <w:tcW w:w="2127" w:type="dxa"/>
            <w:vAlign w:val="center"/>
          </w:tcPr>
          <w:p w14:paraId="5C8ECC30" w14:textId="77777777" w:rsidR="00056295" w:rsidRPr="00286493" w:rsidRDefault="00056295">
            <w:pPr>
              <w:pStyle w:val="NormalnyWeb"/>
              <w:spacing w:before="0" w:beforeAutospacing="0" w:after="0" w:afterAutospacing="0"/>
              <w:jc w:val="both"/>
            </w:pPr>
            <w:r w:rsidRPr="00286493">
              <w:rPr>
                <w:i/>
                <w:iCs/>
                <w:sz w:val="16"/>
                <w:szCs w:val="16"/>
              </w:rPr>
              <w:t>Podać kolor nadwozia.</w:t>
            </w:r>
          </w:p>
        </w:tc>
      </w:tr>
      <w:tr w:rsidR="00077ADE" w:rsidRPr="00286493" w14:paraId="77E2B989" w14:textId="77777777" w:rsidTr="000C5D21">
        <w:tc>
          <w:tcPr>
            <w:tcW w:w="796" w:type="dxa"/>
          </w:tcPr>
          <w:p w14:paraId="5E0A7ACB" w14:textId="79590157" w:rsidR="00077ADE" w:rsidRPr="00286493" w:rsidRDefault="00077ADE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14:paraId="531597A9" w14:textId="4B6661AD" w:rsidR="00077ADE" w:rsidRPr="00903C81" w:rsidRDefault="00077ADE" w:rsidP="001F3AA0">
            <w:pPr>
              <w:jc w:val="both"/>
              <w:rPr>
                <w:kern w:val="24"/>
              </w:rPr>
            </w:pPr>
            <w:r w:rsidRPr="00903C81">
              <w:rPr>
                <w:kern w:val="24"/>
              </w:rPr>
              <w:t xml:space="preserve">Rodzaj paliwa – olej napędowy. Średnie zużycie paliwa </w:t>
            </w:r>
            <w:r w:rsidR="00903C81">
              <w:rPr>
                <w:kern w:val="24"/>
              </w:rPr>
              <w:t>w cyklu mieszanym</w:t>
            </w:r>
            <w:r w:rsidRPr="00903C81">
              <w:rPr>
                <w:kern w:val="24"/>
              </w:rPr>
              <w:t xml:space="preserve"> – max 10 l/100 km</w:t>
            </w:r>
          </w:p>
        </w:tc>
        <w:tc>
          <w:tcPr>
            <w:tcW w:w="2127" w:type="dxa"/>
            <w:vAlign w:val="center"/>
          </w:tcPr>
          <w:p w14:paraId="7E680708" w14:textId="44D9E4EF" w:rsidR="00077ADE" w:rsidRPr="00286493" w:rsidRDefault="00077ADE">
            <w:pPr>
              <w:pStyle w:val="NormalnyWeb"/>
              <w:spacing w:before="0" w:beforeAutospacing="0" w:after="0" w:afterAutospacing="0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Spełnia/nie spełnia</w:t>
            </w:r>
          </w:p>
        </w:tc>
      </w:tr>
      <w:tr w:rsidR="00286493" w:rsidRPr="00286493" w14:paraId="0A5D4688" w14:textId="77777777" w:rsidTr="008E4DBF">
        <w:tc>
          <w:tcPr>
            <w:tcW w:w="796" w:type="dxa"/>
          </w:tcPr>
          <w:p w14:paraId="3AC0DDAD" w14:textId="7BC631A2" w:rsidR="00056295" w:rsidRPr="00286493" w:rsidRDefault="00F17C6A" w:rsidP="008E4DBF">
            <w:pPr>
              <w:jc w:val="center"/>
            </w:pPr>
            <w:r>
              <w:lastRenderedPageBreak/>
              <w:t>8</w:t>
            </w:r>
            <w:r w:rsidR="00056295" w:rsidRPr="00286493">
              <w:t>.</w:t>
            </w:r>
          </w:p>
        </w:tc>
        <w:tc>
          <w:tcPr>
            <w:tcW w:w="10539" w:type="dxa"/>
          </w:tcPr>
          <w:p w14:paraId="14051349" w14:textId="5529D282" w:rsidR="00056295" w:rsidRPr="00286493" w:rsidRDefault="00056295" w:rsidP="00500F3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Skrzynia biegów</w:t>
            </w:r>
            <w:r w:rsidR="00BC3DE1" w:rsidRPr="00286493">
              <w:rPr>
                <w:kern w:val="24"/>
              </w:rPr>
              <w:t xml:space="preserve">: </w:t>
            </w:r>
            <w:r w:rsidR="0007268B" w:rsidRPr="00286493">
              <w:rPr>
                <w:kern w:val="24"/>
              </w:rPr>
              <w:t>automatyczna</w:t>
            </w:r>
            <w:r w:rsidR="00BC3DE1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min. </w:t>
            </w:r>
            <w:r w:rsidR="009354B1">
              <w:rPr>
                <w:kern w:val="24"/>
              </w:rPr>
              <w:t>9</w:t>
            </w:r>
            <w:r w:rsidRPr="00286493">
              <w:rPr>
                <w:kern w:val="24"/>
              </w:rPr>
              <w:t xml:space="preserve"> stopniowa.</w:t>
            </w:r>
          </w:p>
          <w:p w14:paraId="21C19E67" w14:textId="77777777" w:rsidR="00C92565" w:rsidRPr="00286493" w:rsidRDefault="00C92565" w:rsidP="00C92565">
            <w:pPr>
              <w:jc w:val="both"/>
              <w:rPr>
                <w:kern w:val="24"/>
              </w:rPr>
            </w:pPr>
          </w:p>
          <w:p w14:paraId="1BE6A8D1" w14:textId="77777777" w:rsidR="00C92565" w:rsidRPr="00286493" w:rsidRDefault="00C92565" w:rsidP="00C92565">
            <w:pPr>
              <w:jc w:val="both"/>
              <w:rPr>
                <w:kern w:val="24"/>
              </w:rPr>
            </w:pPr>
          </w:p>
        </w:tc>
        <w:tc>
          <w:tcPr>
            <w:tcW w:w="2127" w:type="dxa"/>
          </w:tcPr>
          <w:p w14:paraId="7AE713C4" w14:textId="77777777" w:rsidR="00056295" w:rsidRPr="00286493" w:rsidRDefault="00056295" w:rsidP="00056295">
            <w:pPr>
              <w:pStyle w:val="docdata"/>
              <w:spacing w:before="0" w:beforeAutospacing="0" w:after="0" w:afterAutospacing="0"/>
            </w:pPr>
            <w:r w:rsidRPr="00286493">
              <w:rPr>
                <w:i/>
                <w:iCs/>
                <w:sz w:val="16"/>
                <w:szCs w:val="16"/>
              </w:rPr>
              <w:t>Podać typ skrzyni biegów (oznaczenie fabryczne) oraz liczbę biegów.</w:t>
            </w:r>
          </w:p>
          <w:p w14:paraId="0DEE4F1A" w14:textId="77777777" w:rsidR="00056295" w:rsidRPr="00286493" w:rsidRDefault="00056295" w:rsidP="008E4DBF">
            <w:pPr>
              <w:jc w:val="both"/>
              <w:rPr>
                <w:kern w:val="24"/>
              </w:rPr>
            </w:pPr>
          </w:p>
        </w:tc>
      </w:tr>
      <w:tr w:rsidR="00286493" w:rsidRPr="00286493" w14:paraId="564EABCD" w14:textId="77777777" w:rsidTr="008E4DBF">
        <w:tc>
          <w:tcPr>
            <w:tcW w:w="796" w:type="dxa"/>
          </w:tcPr>
          <w:p w14:paraId="376777B8" w14:textId="10C1E544" w:rsidR="00056295" w:rsidRPr="00286493" w:rsidRDefault="00F17C6A" w:rsidP="008E4DBF">
            <w:pPr>
              <w:jc w:val="center"/>
            </w:pPr>
            <w:r>
              <w:t>9</w:t>
            </w:r>
            <w:r w:rsidR="00056295" w:rsidRPr="00286493">
              <w:t>.</w:t>
            </w:r>
          </w:p>
        </w:tc>
        <w:tc>
          <w:tcPr>
            <w:tcW w:w="10539" w:type="dxa"/>
          </w:tcPr>
          <w:p w14:paraId="17689D0C" w14:textId="2E26A442" w:rsidR="00056295" w:rsidRPr="00286493" w:rsidRDefault="00056295" w:rsidP="00056295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Napęd 4x</w:t>
            </w:r>
            <w:r w:rsidR="009354B1">
              <w:rPr>
                <w:kern w:val="24"/>
              </w:rPr>
              <w:t>4</w:t>
            </w:r>
          </w:p>
        </w:tc>
        <w:tc>
          <w:tcPr>
            <w:tcW w:w="2127" w:type="dxa"/>
          </w:tcPr>
          <w:p w14:paraId="235D889D" w14:textId="182EC249" w:rsidR="00056295" w:rsidRPr="00286493" w:rsidRDefault="009354B1" w:rsidP="009354B1">
            <w:pPr>
              <w:pStyle w:val="docdata"/>
              <w:spacing w:before="0" w:beforeAutospacing="0" w:after="0" w:afterAutospacing="0"/>
            </w:pPr>
            <w:r>
              <w:t>Spełnia/Nie spełnia</w:t>
            </w:r>
          </w:p>
        </w:tc>
      </w:tr>
      <w:tr w:rsidR="009354B1" w:rsidRPr="00286493" w14:paraId="49B20267" w14:textId="77777777" w:rsidTr="008E4DBF">
        <w:tc>
          <w:tcPr>
            <w:tcW w:w="796" w:type="dxa"/>
          </w:tcPr>
          <w:p w14:paraId="2321BD3A" w14:textId="4EA24B87" w:rsidR="009354B1" w:rsidRPr="00286493" w:rsidRDefault="00F17C6A" w:rsidP="009354B1">
            <w:pPr>
              <w:jc w:val="center"/>
            </w:pPr>
            <w:r>
              <w:t>10</w:t>
            </w:r>
            <w:r w:rsidR="009354B1" w:rsidRPr="00286493">
              <w:t>.</w:t>
            </w:r>
          </w:p>
        </w:tc>
        <w:tc>
          <w:tcPr>
            <w:tcW w:w="10539" w:type="dxa"/>
          </w:tcPr>
          <w:p w14:paraId="6065272B" w14:textId="056550BA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Min. 4 – strefowe oświetlenie zewnętrzne 360 ˚</w:t>
            </w:r>
          </w:p>
        </w:tc>
        <w:tc>
          <w:tcPr>
            <w:tcW w:w="2127" w:type="dxa"/>
          </w:tcPr>
          <w:p w14:paraId="239C994E" w14:textId="759081A4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6A598197" w14:textId="77777777" w:rsidTr="008E4DBF">
        <w:tc>
          <w:tcPr>
            <w:tcW w:w="796" w:type="dxa"/>
          </w:tcPr>
          <w:p w14:paraId="4D1304AE" w14:textId="61E01A52" w:rsidR="009354B1" w:rsidRPr="00286493" w:rsidRDefault="009354B1" w:rsidP="009354B1">
            <w:pPr>
              <w:jc w:val="center"/>
            </w:pPr>
            <w:r w:rsidRPr="00286493">
              <w:t>1</w:t>
            </w:r>
            <w:r w:rsidR="00F17C6A">
              <w:t>1</w:t>
            </w:r>
            <w:r w:rsidRPr="00286493">
              <w:t>.</w:t>
            </w:r>
          </w:p>
        </w:tc>
        <w:tc>
          <w:tcPr>
            <w:tcW w:w="10539" w:type="dxa"/>
          </w:tcPr>
          <w:p w14:paraId="6DA76A30" w14:textId="1307696E" w:rsidR="009354B1" w:rsidRPr="00286493" w:rsidRDefault="009354B1" w:rsidP="009354B1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Szyby </w:t>
            </w:r>
            <w:r>
              <w:rPr>
                <w:kern w:val="24"/>
              </w:rPr>
              <w:t>przednie sterowane elektrycznie</w:t>
            </w:r>
            <w:r w:rsidR="006E01C5">
              <w:rPr>
                <w:kern w:val="24"/>
              </w:rPr>
              <w:t xml:space="preserve"> z funkcją opuszczania/zamykania jednym naciśnięciem przycisku</w:t>
            </w:r>
            <w:r w:rsidRPr="00286493">
              <w:rPr>
                <w:kern w:val="24"/>
              </w:rPr>
              <w:t xml:space="preserve"> </w:t>
            </w:r>
          </w:p>
          <w:p w14:paraId="4AA1B19E" w14:textId="2C16A3E7" w:rsidR="009354B1" w:rsidRPr="00286493" w:rsidRDefault="009354B1" w:rsidP="009354B1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Szyby </w:t>
            </w:r>
            <w:r w:rsidR="006E01C5">
              <w:rPr>
                <w:kern w:val="24"/>
              </w:rPr>
              <w:t xml:space="preserve">tylne elektrycznie sterowane </w:t>
            </w:r>
          </w:p>
        </w:tc>
        <w:tc>
          <w:tcPr>
            <w:tcW w:w="2127" w:type="dxa"/>
          </w:tcPr>
          <w:p w14:paraId="3827CFBE" w14:textId="0ECC02A2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3260B60B" w14:textId="77777777" w:rsidTr="008E4DBF">
        <w:tc>
          <w:tcPr>
            <w:tcW w:w="796" w:type="dxa"/>
          </w:tcPr>
          <w:p w14:paraId="0B86E207" w14:textId="619C07C7" w:rsidR="009354B1" w:rsidRPr="00286493" w:rsidRDefault="009354B1" w:rsidP="009354B1">
            <w:pPr>
              <w:jc w:val="center"/>
            </w:pPr>
            <w:r w:rsidRPr="00286493">
              <w:t>1</w:t>
            </w:r>
            <w:r w:rsidR="00F17C6A">
              <w:t>2</w:t>
            </w:r>
            <w:r w:rsidRPr="00286493">
              <w:t>.</w:t>
            </w:r>
          </w:p>
        </w:tc>
        <w:tc>
          <w:tcPr>
            <w:tcW w:w="10539" w:type="dxa"/>
          </w:tcPr>
          <w:p w14:paraId="5099DAEB" w14:textId="7A2E982F" w:rsidR="009354B1" w:rsidRPr="00286493" w:rsidRDefault="0006600D" w:rsidP="009354B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Minimalne wymagalne wyposażenie przez Zamawiającego</w:t>
            </w:r>
            <w:r w:rsidR="009354B1" w:rsidRPr="00286493">
              <w:rPr>
                <w:kern w:val="24"/>
              </w:rPr>
              <w:t>:</w:t>
            </w:r>
          </w:p>
          <w:p w14:paraId="397041F0" w14:textId="73F57EA7" w:rsidR="009354B1" w:rsidRPr="00286493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proofErr w:type="spellStart"/>
            <w:r>
              <w:rPr>
                <w:kern w:val="24"/>
              </w:rPr>
              <w:t>Bezkorkowy</w:t>
            </w:r>
            <w:proofErr w:type="spellEnd"/>
            <w:r>
              <w:rPr>
                <w:kern w:val="24"/>
              </w:rPr>
              <w:t xml:space="preserve"> system tankowania</w:t>
            </w:r>
            <w:r w:rsidR="009354B1" w:rsidRPr="00286493">
              <w:rPr>
                <w:kern w:val="24"/>
              </w:rPr>
              <w:t>,</w:t>
            </w:r>
          </w:p>
          <w:p w14:paraId="229E627D" w14:textId="69B2ED8D" w:rsidR="009354B1" w:rsidRPr="00286493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Cyfrowy zestaw wskaźników – wyświetlacz LCD o przekątnej min. 8”</w:t>
            </w:r>
            <w:r w:rsidR="009354B1" w:rsidRPr="00286493">
              <w:rPr>
                <w:kern w:val="24"/>
              </w:rPr>
              <w:t>,</w:t>
            </w:r>
          </w:p>
          <w:p w14:paraId="31352822" w14:textId="1068AD87" w:rsidR="009354B1" w:rsidRPr="00286493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Czujniki parkowania – przód i tył,</w:t>
            </w:r>
          </w:p>
          <w:p w14:paraId="51179A83" w14:textId="5730A9F4" w:rsidR="009354B1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Elektroniczne wspomaganie siły hamowania</w:t>
            </w:r>
            <w:r w:rsidR="009354B1" w:rsidRPr="00286493">
              <w:rPr>
                <w:kern w:val="24"/>
              </w:rPr>
              <w:t>,</w:t>
            </w:r>
          </w:p>
          <w:p w14:paraId="4AAE9485" w14:textId="4B7D756C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Elektroniczny system stabilizacji toru jazdy ze światłem hamowania awaryjnego,</w:t>
            </w:r>
          </w:p>
          <w:p w14:paraId="76E48944" w14:textId="61EE563A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Asystent hamowania awaryjnego,</w:t>
            </w:r>
          </w:p>
          <w:p w14:paraId="2874B771" w14:textId="1EB2393C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Adaptacyjny system kontroli obciążenia,</w:t>
            </w:r>
          </w:p>
          <w:p w14:paraId="627E37DB" w14:textId="62CFD8E3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kontroli zjazdu ze wzniesienia,</w:t>
            </w:r>
          </w:p>
          <w:p w14:paraId="241CCD93" w14:textId="5B9DC88F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System wspomagający ruszanie pod </w:t>
            </w:r>
            <w:proofErr w:type="spellStart"/>
            <w:r>
              <w:rPr>
                <w:kern w:val="24"/>
              </w:rPr>
              <w:t>góre</w:t>
            </w:r>
            <w:proofErr w:type="spellEnd"/>
            <w:r>
              <w:rPr>
                <w:kern w:val="24"/>
              </w:rPr>
              <w:t>,</w:t>
            </w:r>
          </w:p>
          <w:p w14:paraId="2FE9B31C" w14:textId="59472205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zapobiegający kołysaniu się przyczepy,</w:t>
            </w:r>
          </w:p>
          <w:p w14:paraId="7169870D" w14:textId="557736F2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kontroli ryzyka przywrócenia pojazdu,</w:t>
            </w:r>
          </w:p>
          <w:p w14:paraId="2D8D2F60" w14:textId="3BDE33AA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Elektryczny hamulec postojowy,</w:t>
            </w:r>
          </w:p>
          <w:p w14:paraId="42E38CBA" w14:textId="152E65A9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Otwarcie i zamykanie drzwi bez pomocy kluczyka (nie przykręcając fizycznie klucza),</w:t>
            </w:r>
          </w:p>
          <w:p w14:paraId="5C227DB0" w14:textId="210401FB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Funkcja automatycznego hamowania po kolizji,</w:t>
            </w:r>
          </w:p>
          <w:p w14:paraId="1570EF96" w14:textId="66427310" w:rsidR="006E01C5" w:rsidRDefault="006E01C5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Funkcja automatycznego hamowania podczas cofania,</w:t>
            </w:r>
          </w:p>
          <w:p w14:paraId="5DB1D193" w14:textId="2CBC81E3" w:rsidR="006E01C5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Kamera cofania,</w:t>
            </w:r>
          </w:p>
          <w:p w14:paraId="781B2A7B" w14:textId="377DE2C9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Podgrzewana przednia szyba,</w:t>
            </w:r>
          </w:p>
          <w:p w14:paraId="7B9204D9" w14:textId="762B6F7E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kontroli ciśnienia w oponach,</w:t>
            </w:r>
          </w:p>
          <w:p w14:paraId="571B3BF4" w14:textId="10653C36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kontroli pasa ruchu,</w:t>
            </w:r>
          </w:p>
          <w:p w14:paraId="69853A02" w14:textId="75E69B29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Min. 9 poduszek powietrznych,</w:t>
            </w:r>
          </w:p>
          <w:p w14:paraId="40AE2D12" w14:textId="3668A8B3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Funkcja automatycznego hamowania,</w:t>
            </w:r>
          </w:p>
          <w:p w14:paraId="5A4F7C84" w14:textId="1D4A4189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Możliwość wyboru trybu jazdy,</w:t>
            </w:r>
          </w:p>
          <w:p w14:paraId="350F5C3E" w14:textId="3EFE1DE2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Zbiornik paliwa min. 80 litrów,</w:t>
            </w:r>
          </w:p>
          <w:p w14:paraId="1F38641A" w14:textId="36845EF1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Nawigacja satelitarna,</w:t>
            </w:r>
          </w:p>
          <w:p w14:paraId="65B6071B" w14:textId="3B46C5F7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Elektrochromatyczne lusterko wsteczne,</w:t>
            </w:r>
          </w:p>
          <w:p w14:paraId="2532A9B1" w14:textId="678635E2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Wycieraczki automatyczne z czujnikiem deszczu,</w:t>
            </w:r>
          </w:p>
          <w:p w14:paraId="18EB771C" w14:textId="36A21330" w:rsidR="00077ADE" w:rsidRDefault="00077ADE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Pojazd wyposażony w dywaniki podłogowe (przód, tył)</w:t>
            </w:r>
            <w:r w:rsidR="00F17C6A">
              <w:rPr>
                <w:kern w:val="24"/>
              </w:rPr>
              <w:t>,</w:t>
            </w:r>
          </w:p>
          <w:p w14:paraId="21B74898" w14:textId="3B69D6C2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Pasy bezpieczeństwa przód, tył, 3 punktowe,</w:t>
            </w:r>
          </w:p>
          <w:p w14:paraId="7D765850" w14:textId="73DB9CDA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Światła przeciwmgielne oraz do jazdy dziennej w technologii min. LED lub równoważnej,</w:t>
            </w:r>
          </w:p>
          <w:p w14:paraId="3C253E77" w14:textId="39B703B3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Automatyczna zmiana świateł mijania/drogowe</w:t>
            </w:r>
          </w:p>
          <w:p w14:paraId="60419863" w14:textId="1015351F" w:rsidR="00903C81" w:rsidRDefault="00903C81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Wciągarka elektryczna zamontowana </w:t>
            </w:r>
          </w:p>
          <w:p w14:paraId="4D59D80C" w14:textId="77777777" w:rsidR="00F17C6A" w:rsidRDefault="00F17C6A" w:rsidP="00F17C6A">
            <w:pPr>
              <w:jc w:val="both"/>
              <w:rPr>
                <w:kern w:val="24"/>
              </w:rPr>
            </w:pPr>
          </w:p>
          <w:p w14:paraId="5726B881" w14:textId="3BFFB8AD" w:rsidR="00F17C6A" w:rsidRDefault="00F17C6A" w:rsidP="00F17C6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Przestrzeń ładunkowa:</w:t>
            </w:r>
          </w:p>
          <w:p w14:paraId="2402C7A7" w14:textId="438DC269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Oświetlenie skrzyni ładunkowej,</w:t>
            </w:r>
          </w:p>
          <w:p w14:paraId="231789C6" w14:textId="332BFB4F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System mocowania ładunku – szyny z uchwytami,</w:t>
            </w:r>
          </w:p>
          <w:p w14:paraId="06E87021" w14:textId="002FDD10" w:rsid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Tylna klapa z mechanizmem ułatwiającym opuszczanie/ podnoszenie,</w:t>
            </w:r>
          </w:p>
          <w:p w14:paraId="0E0CEB48" w14:textId="0A7E6BBE" w:rsidR="00F17C6A" w:rsidRPr="00F17C6A" w:rsidRDefault="00F17C6A" w:rsidP="00F17C6A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Stopień boczny tylnego zderzaka</w:t>
            </w:r>
          </w:p>
          <w:p w14:paraId="1CA3044D" w14:textId="77777777" w:rsidR="003B0E8E" w:rsidRDefault="003B0E8E" w:rsidP="003B0E8E">
            <w:pPr>
              <w:ind w:left="366"/>
              <w:jc w:val="both"/>
              <w:rPr>
                <w:kern w:val="24"/>
              </w:rPr>
            </w:pPr>
          </w:p>
          <w:p w14:paraId="7AE56257" w14:textId="6486B05B" w:rsidR="003B0E8E" w:rsidRDefault="003B0E8E" w:rsidP="003B0E8E">
            <w:pPr>
              <w:ind w:left="366"/>
              <w:jc w:val="both"/>
              <w:rPr>
                <w:kern w:val="24"/>
              </w:rPr>
            </w:pPr>
            <w:r>
              <w:rPr>
                <w:kern w:val="24"/>
              </w:rPr>
              <w:t>Dodatkowe elementy wyposażenia</w:t>
            </w:r>
            <w:r w:rsidR="00077ADE">
              <w:rPr>
                <w:kern w:val="24"/>
              </w:rPr>
              <w:t xml:space="preserve"> wymagane przez Zamawiającego</w:t>
            </w:r>
            <w:r>
              <w:rPr>
                <w:kern w:val="24"/>
              </w:rPr>
              <w:t>:</w:t>
            </w:r>
          </w:p>
          <w:p w14:paraId="549A32CA" w14:textId="12BAF73D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Pojazd wyposażony w relingi dachowe,</w:t>
            </w:r>
          </w:p>
          <w:p w14:paraId="351CD4C9" w14:textId="4BADAA31" w:rsidR="0006600D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Pojazd wyposażony w hak holowniczy,</w:t>
            </w:r>
          </w:p>
          <w:p w14:paraId="6B834AE2" w14:textId="51740ECD" w:rsidR="0006600D" w:rsidRPr="00F17C6A" w:rsidRDefault="0006600D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color w:val="000000" w:themeColor="text1"/>
                <w:kern w:val="24"/>
              </w:rPr>
            </w:pPr>
            <w:r>
              <w:rPr>
                <w:kern w:val="24"/>
              </w:rPr>
              <w:t xml:space="preserve">Pojazd </w:t>
            </w:r>
            <w:r w:rsidRPr="00903C81">
              <w:rPr>
                <w:kern w:val="24"/>
              </w:rPr>
              <w:t xml:space="preserve">wyposażony w </w:t>
            </w:r>
            <w:r w:rsidRPr="00F17C6A">
              <w:rPr>
                <w:color w:val="000000" w:themeColor="text1"/>
                <w:kern w:val="24"/>
              </w:rPr>
              <w:t>przetwornicę,</w:t>
            </w:r>
          </w:p>
          <w:p w14:paraId="61985028" w14:textId="5CA0DEB7" w:rsidR="003B0E8E" w:rsidRPr="00F17C6A" w:rsidRDefault="003B0E8E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color w:val="000000" w:themeColor="text1"/>
                <w:kern w:val="24"/>
              </w:rPr>
            </w:pPr>
            <w:r w:rsidRPr="00F17C6A">
              <w:rPr>
                <w:color w:val="000000" w:themeColor="text1"/>
                <w:kern w:val="24"/>
              </w:rPr>
              <w:t>Pojazd z zamontowaną wzmocnioną osłoną silnika i skrzyni biegów,</w:t>
            </w:r>
          </w:p>
          <w:p w14:paraId="17076CC9" w14:textId="737515AE" w:rsidR="003B0E8E" w:rsidRDefault="003B0E8E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Ogrzewanie postojowe,</w:t>
            </w:r>
          </w:p>
          <w:p w14:paraId="0627C880" w14:textId="64DD9C12" w:rsidR="003B0E8E" w:rsidRDefault="003B0E8E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Orurowanie min. przód</w:t>
            </w:r>
            <w:r w:rsidR="00F17C6A">
              <w:rPr>
                <w:kern w:val="24"/>
              </w:rPr>
              <w:t>,</w:t>
            </w:r>
          </w:p>
          <w:p w14:paraId="3272AAE2" w14:textId="54C35696" w:rsidR="00F17C6A" w:rsidRDefault="00F17C6A" w:rsidP="009354B1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>
              <w:rPr>
                <w:kern w:val="24"/>
              </w:rPr>
              <w:t>Ciemne szyby w tylnej części pojazdu,</w:t>
            </w:r>
          </w:p>
          <w:p w14:paraId="2A5D34E7" w14:textId="454D0412" w:rsidR="00F17C6A" w:rsidRDefault="00F17C6A" w:rsidP="00F17C6A">
            <w:pPr>
              <w:jc w:val="both"/>
              <w:rPr>
                <w:kern w:val="24"/>
              </w:rPr>
            </w:pPr>
          </w:p>
          <w:p w14:paraId="4B9FA822" w14:textId="471F719E" w:rsidR="009354B1" w:rsidRPr="00286493" w:rsidRDefault="009354B1" w:rsidP="003B0E8E">
            <w:pPr>
              <w:jc w:val="both"/>
              <w:rPr>
                <w:kern w:val="24"/>
              </w:rPr>
            </w:pPr>
          </w:p>
        </w:tc>
        <w:tc>
          <w:tcPr>
            <w:tcW w:w="2127" w:type="dxa"/>
          </w:tcPr>
          <w:p w14:paraId="4701FD56" w14:textId="30B010A4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lastRenderedPageBreak/>
              <w:t>Spełnia/Nie spełnia</w:t>
            </w:r>
          </w:p>
        </w:tc>
      </w:tr>
      <w:tr w:rsidR="009354B1" w:rsidRPr="00286493" w14:paraId="6D018A70" w14:textId="77777777" w:rsidTr="008E4DBF">
        <w:tc>
          <w:tcPr>
            <w:tcW w:w="796" w:type="dxa"/>
          </w:tcPr>
          <w:p w14:paraId="433489C1" w14:textId="77777777" w:rsidR="009354B1" w:rsidRPr="00286493" w:rsidRDefault="009354B1" w:rsidP="009354B1">
            <w:pPr>
              <w:jc w:val="center"/>
            </w:pPr>
            <w:r w:rsidRPr="00286493">
              <w:t>13.</w:t>
            </w:r>
          </w:p>
        </w:tc>
        <w:tc>
          <w:tcPr>
            <w:tcW w:w="10539" w:type="dxa"/>
          </w:tcPr>
          <w:p w14:paraId="51958F13" w14:textId="2E996F88" w:rsidR="009354B1" w:rsidRPr="00286493" w:rsidRDefault="009354B1" w:rsidP="009354B1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Samochód wyposażony w komplet dywaników</w:t>
            </w:r>
            <w:r w:rsidRPr="00286493">
              <w:t xml:space="preserve"> </w:t>
            </w:r>
            <w:r w:rsidRPr="00286493">
              <w:rPr>
                <w:kern w:val="24"/>
              </w:rPr>
              <w:t>dla wszystkich rzędów siedzeń.</w:t>
            </w:r>
          </w:p>
        </w:tc>
        <w:tc>
          <w:tcPr>
            <w:tcW w:w="2127" w:type="dxa"/>
          </w:tcPr>
          <w:p w14:paraId="719E9D32" w14:textId="6D7B4189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62420750" w14:textId="77777777" w:rsidTr="008E4DBF">
        <w:tc>
          <w:tcPr>
            <w:tcW w:w="796" w:type="dxa"/>
          </w:tcPr>
          <w:p w14:paraId="6F28CD84" w14:textId="77777777" w:rsidR="009354B1" w:rsidRPr="00903C81" w:rsidRDefault="009354B1" w:rsidP="009354B1">
            <w:pPr>
              <w:jc w:val="center"/>
            </w:pPr>
            <w:r w:rsidRPr="00903C81">
              <w:t>14.</w:t>
            </w:r>
          </w:p>
        </w:tc>
        <w:tc>
          <w:tcPr>
            <w:tcW w:w="10539" w:type="dxa"/>
          </w:tcPr>
          <w:p w14:paraId="0B613146" w14:textId="3CA49F32" w:rsidR="009354B1" w:rsidRPr="00903C81" w:rsidRDefault="009354B1" w:rsidP="009354B1">
            <w:pPr>
              <w:jc w:val="both"/>
            </w:pPr>
            <w:r w:rsidRPr="00903C81">
              <w:t>Wymiary</w:t>
            </w:r>
            <w:r w:rsidR="00077ADE" w:rsidRPr="00903C81">
              <w:t xml:space="preserve"> zewnętrzne pojazdu</w:t>
            </w:r>
            <w:r w:rsidRPr="00903C81">
              <w:t>:</w:t>
            </w:r>
          </w:p>
          <w:p w14:paraId="2AAC08B2" w14:textId="47F7BE0F" w:rsidR="009354B1" w:rsidRPr="00903C81" w:rsidRDefault="009354B1" w:rsidP="009354B1">
            <w:pPr>
              <w:jc w:val="both"/>
            </w:pPr>
            <w:r w:rsidRPr="00903C81">
              <w:t>Długość całkowita min.</w:t>
            </w:r>
            <w:r w:rsidR="003B0E8E" w:rsidRPr="00903C81">
              <w:t xml:space="preserve"> 5300</w:t>
            </w:r>
            <w:r w:rsidRPr="00903C81">
              <w:t xml:space="preserve"> mm,</w:t>
            </w:r>
          </w:p>
          <w:p w14:paraId="24D66C55" w14:textId="5BB79943" w:rsidR="009354B1" w:rsidRPr="00903C81" w:rsidRDefault="009354B1" w:rsidP="009354B1">
            <w:pPr>
              <w:jc w:val="both"/>
            </w:pPr>
            <w:r w:rsidRPr="00903C81">
              <w:t>Szerokość całkowita</w:t>
            </w:r>
            <w:r w:rsidR="003B0E8E" w:rsidRPr="00903C81">
              <w:t xml:space="preserve"> (bez lusterek)</w:t>
            </w:r>
            <w:r w:rsidRPr="00903C81">
              <w:t xml:space="preserve"> min. 1</w:t>
            </w:r>
            <w:r w:rsidR="003B0E8E" w:rsidRPr="00903C81">
              <w:t>9</w:t>
            </w:r>
            <w:r w:rsidRPr="00903C81">
              <w:t>00 mm,</w:t>
            </w:r>
          </w:p>
          <w:p w14:paraId="5106C049" w14:textId="4549E70A" w:rsidR="009354B1" w:rsidRPr="00903C81" w:rsidRDefault="009354B1" w:rsidP="009354B1">
            <w:pPr>
              <w:jc w:val="both"/>
            </w:pPr>
            <w:r w:rsidRPr="00903C81">
              <w:t>Wysokość całkowita</w:t>
            </w:r>
            <w:r w:rsidR="00077ADE" w:rsidRPr="00903C81">
              <w:t xml:space="preserve"> (bez relingów)</w:t>
            </w:r>
            <w:r w:rsidRPr="00903C81">
              <w:t xml:space="preserve"> max. 1</w:t>
            </w:r>
            <w:r w:rsidR="003B0E8E" w:rsidRPr="00903C81">
              <w:t>9</w:t>
            </w:r>
            <w:r w:rsidRPr="00903C81">
              <w:t>00 mm</w:t>
            </w:r>
          </w:p>
          <w:p w14:paraId="23F47DA9" w14:textId="77777777" w:rsidR="00077ADE" w:rsidRPr="00903C81" w:rsidRDefault="00077ADE" w:rsidP="009354B1">
            <w:pPr>
              <w:jc w:val="both"/>
            </w:pPr>
          </w:p>
          <w:p w14:paraId="1F23C184" w14:textId="19423B1E" w:rsidR="00077ADE" w:rsidRPr="00903C81" w:rsidRDefault="00077ADE" w:rsidP="009354B1">
            <w:pPr>
              <w:jc w:val="both"/>
            </w:pPr>
            <w:r w:rsidRPr="00903C81">
              <w:t>Wymiary przestrzeni ładunkowej:</w:t>
            </w:r>
          </w:p>
          <w:p w14:paraId="40638E5F" w14:textId="00C4763A" w:rsidR="00077ADE" w:rsidRPr="00903C81" w:rsidRDefault="00077ADE" w:rsidP="009354B1">
            <w:pPr>
              <w:jc w:val="both"/>
            </w:pPr>
            <w:r w:rsidRPr="00903C81">
              <w:t>Długość podłogi: max 1</w:t>
            </w:r>
            <w:r w:rsidR="00C17E50">
              <w:t>660</w:t>
            </w:r>
            <w:r w:rsidRPr="00903C81">
              <w:t xml:space="preserve"> mm,</w:t>
            </w:r>
          </w:p>
          <w:p w14:paraId="64F3E76C" w14:textId="62AF73E4" w:rsidR="00077ADE" w:rsidRPr="00903C81" w:rsidRDefault="00077ADE" w:rsidP="009354B1">
            <w:pPr>
              <w:jc w:val="both"/>
            </w:pPr>
            <w:r w:rsidRPr="00903C81">
              <w:t>Szerokość podłogi: max 1</w:t>
            </w:r>
            <w:r w:rsidR="00C17E50">
              <w:t>600</w:t>
            </w:r>
            <w:r w:rsidRPr="00903C81">
              <w:t xml:space="preserve"> mm,</w:t>
            </w:r>
          </w:p>
          <w:p w14:paraId="1EA277CB" w14:textId="48AD9747" w:rsidR="009354B1" w:rsidRPr="00903C81" w:rsidRDefault="00077ADE" w:rsidP="009354B1">
            <w:pPr>
              <w:jc w:val="both"/>
            </w:pPr>
            <w:r w:rsidRPr="00903C81">
              <w:t>Szerokość między nadkolami: max 1230 mm</w:t>
            </w:r>
          </w:p>
          <w:p w14:paraId="0B0B8E55" w14:textId="6CEDFF39" w:rsidR="00077ADE" w:rsidRPr="00903C81" w:rsidRDefault="00077ADE" w:rsidP="009354B1">
            <w:pPr>
              <w:jc w:val="both"/>
            </w:pPr>
          </w:p>
        </w:tc>
        <w:tc>
          <w:tcPr>
            <w:tcW w:w="2127" w:type="dxa"/>
          </w:tcPr>
          <w:p w14:paraId="5560163D" w14:textId="2C8E1C6E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7A771807" w14:textId="77777777" w:rsidTr="008E4DBF">
        <w:tc>
          <w:tcPr>
            <w:tcW w:w="796" w:type="dxa"/>
          </w:tcPr>
          <w:p w14:paraId="79CC03B6" w14:textId="04C80C07" w:rsidR="009354B1" w:rsidRPr="00286493" w:rsidRDefault="009354B1" w:rsidP="009354B1">
            <w:pPr>
              <w:jc w:val="center"/>
            </w:pPr>
            <w:r>
              <w:t>1</w:t>
            </w:r>
            <w:r w:rsidR="000A14E1">
              <w:t>5</w:t>
            </w:r>
            <w:r w:rsidRPr="00286493">
              <w:t>.</w:t>
            </w:r>
          </w:p>
        </w:tc>
        <w:tc>
          <w:tcPr>
            <w:tcW w:w="10539" w:type="dxa"/>
            <w:vAlign w:val="center"/>
          </w:tcPr>
          <w:p w14:paraId="22B75EBF" w14:textId="77777777" w:rsidR="009354B1" w:rsidRPr="00286493" w:rsidRDefault="009354B1" w:rsidP="009354B1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 pojazdem Wykonawca dostarczy wyposażenie:</w:t>
            </w:r>
          </w:p>
          <w:p w14:paraId="6FBA8227" w14:textId="31CA3D43" w:rsidR="009354B1" w:rsidRPr="00286493" w:rsidRDefault="009354B1" w:rsidP="009354B1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gaśnicę proszkową o masie środka gaśniczego minimum 1 kg, posiadającą świadectwo dopuszczenia CNBOP-PIB,</w:t>
            </w:r>
          </w:p>
          <w:p w14:paraId="611FF7EB" w14:textId="19C2D7DF" w:rsidR="009354B1" w:rsidRPr="00286493" w:rsidRDefault="009354B1" w:rsidP="009354B1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apteczkę samochodową, w</w:t>
            </w:r>
            <w:r w:rsidR="00077ADE">
              <w:rPr>
                <w:kern w:val="24"/>
              </w:rPr>
              <w:t>raz z niezbędnym minimalnym wyposażeniem</w:t>
            </w:r>
            <w:r w:rsidRPr="00286493">
              <w:rPr>
                <w:kern w:val="24"/>
              </w:rPr>
              <w:t xml:space="preserve"> </w:t>
            </w:r>
          </w:p>
          <w:p w14:paraId="286F93F2" w14:textId="7EFC19EB" w:rsidR="009354B1" w:rsidRPr="00286493" w:rsidRDefault="009354B1" w:rsidP="009354B1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trójkąt ostrzegawczy posiadający homologację zgodną z Regulaminem Nr 27 EKG ONZ,</w:t>
            </w:r>
          </w:p>
          <w:p w14:paraId="6357409A" w14:textId="3616EAFD" w:rsidR="009354B1" w:rsidRPr="00077ADE" w:rsidRDefault="009354B1" w:rsidP="009354B1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zestaw podręcznych narzędzi, w skład którego wchodzi co najmniej: podnośnik samochodowy dostosowany do masy pojazdu, klucz do kół, wkrętak/klucz dostosowany do wkrętów zastosowanych w pojeździe, klucz umożliwiający odłączenie biegunów akumulatora,</w:t>
            </w:r>
          </w:p>
        </w:tc>
        <w:tc>
          <w:tcPr>
            <w:tcW w:w="2127" w:type="dxa"/>
          </w:tcPr>
          <w:p w14:paraId="25564A8F" w14:textId="2976CADA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670CBA0C" w14:textId="77777777" w:rsidTr="008E4DBF">
        <w:tc>
          <w:tcPr>
            <w:tcW w:w="796" w:type="dxa"/>
          </w:tcPr>
          <w:p w14:paraId="45E1BAB4" w14:textId="3AED1AAF" w:rsidR="009354B1" w:rsidRPr="00286493" w:rsidRDefault="000A14E1" w:rsidP="009354B1">
            <w:pPr>
              <w:jc w:val="center"/>
            </w:pPr>
            <w:r>
              <w:t>16</w:t>
            </w:r>
            <w:r w:rsidR="009354B1" w:rsidRPr="00286493">
              <w:t>.</w:t>
            </w:r>
          </w:p>
        </w:tc>
        <w:tc>
          <w:tcPr>
            <w:tcW w:w="10539" w:type="dxa"/>
            <w:vAlign w:val="center"/>
          </w:tcPr>
          <w:p w14:paraId="7FC47676" w14:textId="78761B32" w:rsidR="009354B1" w:rsidRPr="00286493" w:rsidRDefault="009354B1" w:rsidP="009354B1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 pojazdem Zamawiający dostarczy wszystkie potrzebne dokumenty do rejestracji pojazdu</w:t>
            </w:r>
            <w:r w:rsidR="00077ADE">
              <w:rPr>
                <w:kern w:val="24"/>
              </w:rPr>
              <w:t>.</w:t>
            </w:r>
          </w:p>
        </w:tc>
        <w:tc>
          <w:tcPr>
            <w:tcW w:w="2127" w:type="dxa"/>
          </w:tcPr>
          <w:p w14:paraId="2F017C5D" w14:textId="1B2A8316" w:rsidR="009354B1" w:rsidRPr="00286493" w:rsidRDefault="009354B1" w:rsidP="009354B1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9354B1" w:rsidRPr="00286493" w14:paraId="688F5E67" w14:textId="77777777" w:rsidTr="008E4DBF">
        <w:tc>
          <w:tcPr>
            <w:tcW w:w="796" w:type="dxa"/>
          </w:tcPr>
          <w:p w14:paraId="6E4A5C63" w14:textId="40BD3897" w:rsidR="009354B1" w:rsidRPr="00286493" w:rsidRDefault="000A14E1" w:rsidP="009354B1">
            <w:pPr>
              <w:jc w:val="center"/>
            </w:pPr>
            <w:r>
              <w:lastRenderedPageBreak/>
              <w:t>17</w:t>
            </w:r>
            <w:r w:rsidR="009354B1" w:rsidRPr="00286493">
              <w:t>.</w:t>
            </w:r>
          </w:p>
        </w:tc>
        <w:tc>
          <w:tcPr>
            <w:tcW w:w="10539" w:type="dxa"/>
          </w:tcPr>
          <w:p w14:paraId="77745CBC" w14:textId="77777777" w:rsidR="009354B1" w:rsidRPr="00903C81" w:rsidRDefault="009354B1" w:rsidP="009354B1">
            <w:pPr>
              <w:jc w:val="both"/>
            </w:pPr>
            <w:r w:rsidRPr="00903C81">
              <w:t>Wykonawca udzieli min. 60 miesięcy gwarancji na pojazd z wyposażeniem.</w:t>
            </w:r>
          </w:p>
          <w:p w14:paraId="35C72FBC" w14:textId="65783D16" w:rsidR="009354B1" w:rsidRPr="00286493" w:rsidRDefault="009354B1" w:rsidP="009354B1">
            <w:pPr>
              <w:jc w:val="both"/>
            </w:pPr>
            <w:r w:rsidRPr="00903C81">
              <w:t xml:space="preserve">Wykonawca zapewni minimum </w:t>
            </w:r>
            <w:r w:rsidR="00077ADE" w:rsidRPr="00903C81">
              <w:t>5</w:t>
            </w:r>
            <w:r w:rsidRPr="00903C81">
              <w:t xml:space="preserve"> letnie przeglądy serwisowe w ramach wynagrodzenia, ujętego w ofercie.</w:t>
            </w:r>
          </w:p>
        </w:tc>
        <w:tc>
          <w:tcPr>
            <w:tcW w:w="2127" w:type="dxa"/>
          </w:tcPr>
          <w:p w14:paraId="357F1D2F" w14:textId="6D08E3D4" w:rsidR="009354B1" w:rsidRPr="00286493" w:rsidRDefault="009354B1" w:rsidP="009354B1">
            <w:pPr>
              <w:jc w:val="both"/>
            </w:pPr>
            <w:r>
              <w:t>Spełnia/Nie spełnia</w:t>
            </w:r>
          </w:p>
        </w:tc>
      </w:tr>
    </w:tbl>
    <w:p w14:paraId="13387502" w14:textId="77777777" w:rsidR="0075264B" w:rsidRPr="00286493" w:rsidRDefault="0075264B"/>
    <w:sectPr w:rsidR="0075264B" w:rsidRPr="00286493" w:rsidSect="00F31CAF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7F96" w14:textId="77777777" w:rsidR="001E47B9" w:rsidRDefault="001E47B9" w:rsidP="00AB667B">
      <w:r>
        <w:separator/>
      </w:r>
    </w:p>
  </w:endnote>
  <w:endnote w:type="continuationSeparator" w:id="0">
    <w:p w14:paraId="7CFD21CA" w14:textId="77777777" w:rsidR="001E47B9" w:rsidRDefault="001E47B9" w:rsidP="00A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E020" w14:textId="77777777" w:rsidR="001E47B9" w:rsidRDefault="001E47B9" w:rsidP="00AB667B">
      <w:r>
        <w:separator/>
      </w:r>
    </w:p>
  </w:footnote>
  <w:footnote w:type="continuationSeparator" w:id="0">
    <w:p w14:paraId="5CE858DD" w14:textId="77777777" w:rsidR="001E47B9" w:rsidRDefault="001E47B9" w:rsidP="00AB6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0E0B6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0318E0"/>
    <w:multiLevelType w:val="hybridMultilevel"/>
    <w:tmpl w:val="1BC26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71322"/>
    <w:multiLevelType w:val="hybridMultilevel"/>
    <w:tmpl w:val="82C441B0"/>
    <w:lvl w:ilvl="0" w:tplc="4B6A9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8876287">
    <w:abstractNumId w:val="7"/>
  </w:num>
  <w:num w:numId="2" w16cid:durableId="1703703047">
    <w:abstractNumId w:val="6"/>
  </w:num>
  <w:num w:numId="3" w16cid:durableId="1719738104">
    <w:abstractNumId w:val="10"/>
  </w:num>
  <w:num w:numId="4" w16cid:durableId="727605796">
    <w:abstractNumId w:val="11"/>
  </w:num>
  <w:num w:numId="5" w16cid:durableId="1999572727">
    <w:abstractNumId w:val="1"/>
  </w:num>
  <w:num w:numId="6" w16cid:durableId="52512107">
    <w:abstractNumId w:val="4"/>
  </w:num>
  <w:num w:numId="7" w16cid:durableId="1630820100">
    <w:abstractNumId w:val="9"/>
  </w:num>
  <w:num w:numId="8" w16cid:durableId="1701708744">
    <w:abstractNumId w:val="5"/>
  </w:num>
  <w:num w:numId="9" w16cid:durableId="1720980940">
    <w:abstractNumId w:val="0"/>
  </w:num>
  <w:num w:numId="10" w16cid:durableId="2139639085">
    <w:abstractNumId w:val="3"/>
  </w:num>
  <w:num w:numId="11" w16cid:durableId="1460537722">
    <w:abstractNumId w:val="12"/>
  </w:num>
  <w:num w:numId="12" w16cid:durableId="1074354027">
    <w:abstractNumId w:val="2"/>
  </w:num>
  <w:num w:numId="13" w16cid:durableId="4893228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B1"/>
    <w:rsid w:val="0001041D"/>
    <w:rsid w:val="000119C6"/>
    <w:rsid w:val="00015116"/>
    <w:rsid w:val="00031A88"/>
    <w:rsid w:val="00056295"/>
    <w:rsid w:val="00063C91"/>
    <w:rsid w:val="0006600D"/>
    <w:rsid w:val="0007268B"/>
    <w:rsid w:val="00077ADE"/>
    <w:rsid w:val="00084516"/>
    <w:rsid w:val="0009371A"/>
    <w:rsid w:val="00094363"/>
    <w:rsid w:val="000A110B"/>
    <w:rsid w:val="000A14E1"/>
    <w:rsid w:val="000A195E"/>
    <w:rsid w:val="000D75D6"/>
    <w:rsid w:val="000E53D7"/>
    <w:rsid w:val="000F4E8E"/>
    <w:rsid w:val="0014411C"/>
    <w:rsid w:val="00151F72"/>
    <w:rsid w:val="00171F32"/>
    <w:rsid w:val="001B3918"/>
    <w:rsid w:val="001B78DD"/>
    <w:rsid w:val="001C6D18"/>
    <w:rsid w:val="001D533A"/>
    <w:rsid w:val="001E47B9"/>
    <w:rsid w:val="001E6D17"/>
    <w:rsid w:val="001F3AA0"/>
    <w:rsid w:val="002114DF"/>
    <w:rsid w:val="002312A8"/>
    <w:rsid w:val="00237A8E"/>
    <w:rsid w:val="002441E5"/>
    <w:rsid w:val="00264ADD"/>
    <w:rsid w:val="00272B6A"/>
    <w:rsid w:val="00273622"/>
    <w:rsid w:val="00274379"/>
    <w:rsid w:val="0027589A"/>
    <w:rsid w:val="0028389C"/>
    <w:rsid w:val="00285073"/>
    <w:rsid w:val="00286493"/>
    <w:rsid w:val="002A7AEE"/>
    <w:rsid w:val="002B58E5"/>
    <w:rsid w:val="002C540B"/>
    <w:rsid w:val="002D1EA5"/>
    <w:rsid w:val="00312AC5"/>
    <w:rsid w:val="0032280F"/>
    <w:rsid w:val="00361733"/>
    <w:rsid w:val="00376A2B"/>
    <w:rsid w:val="00386191"/>
    <w:rsid w:val="003A50F2"/>
    <w:rsid w:val="003B0E8E"/>
    <w:rsid w:val="003B3F92"/>
    <w:rsid w:val="003E0BD8"/>
    <w:rsid w:val="003E25C5"/>
    <w:rsid w:val="003E2797"/>
    <w:rsid w:val="00416421"/>
    <w:rsid w:val="00441DA5"/>
    <w:rsid w:val="00457656"/>
    <w:rsid w:val="004601EA"/>
    <w:rsid w:val="004604C7"/>
    <w:rsid w:val="0046178A"/>
    <w:rsid w:val="004701E5"/>
    <w:rsid w:val="00471B2D"/>
    <w:rsid w:val="004900F2"/>
    <w:rsid w:val="004959D1"/>
    <w:rsid w:val="004A5DDB"/>
    <w:rsid w:val="004B13C5"/>
    <w:rsid w:val="004B57CD"/>
    <w:rsid w:val="004D2906"/>
    <w:rsid w:val="004D2AB7"/>
    <w:rsid w:val="004D5505"/>
    <w:rsid w:val="004E21B0"/>
    <w:rsid w:val="004F6FE9"/>
    <w:rsid w:val="00500F3F"/>
    <w:rsid w:val="005050AA"/>
    <w:rsid w:val="005138F9"/>
    <w:rsid w:val="005218B1"/>
    <w:rsid w:val="00524290"/>
    <w:rsid w:val="00556EA8"/>
    <w:rsid w:val="00557319"/>
    <w:rsid w:val="00562D77"/>
    <w:rsid w:val="0057058B"/>
    <w:rsid w:val="00572307"/>
    <w:rsid w:val="00575B96"/>
    <w:rsid w:val="00587419"/>
    <w:rsid w:val="00587CA8"/>
    <w:rsid w:val="00594FB7"/>
    <w:rsid w:val="005969A9"/>
    <w:rsid w:val="005B24EC"/>
    <w:rsid w:val="005B2E2B"/>
    <w:rsid w:val="005B5236"/>
    <w:rsid w:val="005C6BB6"/>
    <w:rsid w:val="005D4044"/>
    <w:rsid w:val="005D603D"/>
    <w:rsid w:val="005D68A0"/>
    <w:rsid w:val="005E4D5D"/>
    <w:rsid w:val="00610134"/>
    <w:rsid w:val="00624E63"/>
    <w:rsid w:val="006302DD"/>
    <w:rsid w:val="00636264"/>
    <w:rsid w:val="00636D65"/>
    <w:rsid w:val="006513A0"/>
    <w:rsid w:val="00656382"/>
    <w:rsid w:val="00663284"/>
    <w:rsid w:val="00667607"/>
    <w:rsid w:val="0067072F"/>
    <w:rsid w:val="006A5965"/>
    <w:rsid w:val="006C02DE"/>
    <w:rsid w:val="006C7577"/>
    <w:rsid w:val="006D25FB"/>
    <w:rsid w:val="006D6803"/>
    <w:rsid w:val="006E01C5"/>
    <w:rsid w:val="006F0446"/>
    <w:rsid w:val="0072227A"/>
    <w:rsid w:val="00740507"/>
    <w:rsid w:val="0075264B"/>
    <w:rsid w:val="0076398C"/>
    <w:rsid w:val="00773F08"/>
    <w:rsid w:val="007773DF"/>
    <w:rsid w:val="0079025E"/>
    <w:rsid w:val="007A487A"/>
    <w:rsid w:val="007A5511"/>
    <w:rsid w:val="007C569C"/>
    <w:rsid w:val="008510B1"/>
    <w:rsid w:val="00860307"/>
    <w:rsid w:val="00863693"/>
    <w:rsid w:val="00886729"/>
    <w:rsid w:val="008906A2"/>
    <w:rsid w:val="008949DE"/>
    <w:rsid w:val="008A0B12"/>
    <w:rsid w:val="008E0920"/>
    <w:rsid w:val="008E5209"/>
    <w:rsid w:val="008F5681"/>
    <w:rsid w:val="00903C81"/>
    <w:rsid w:val="00926CF7"/>
    <w:rsid w:val="009354B1"/>
    <w:rsid w:val="0093554A"/>
    <w:rsid w:val="00943F54"/>
    <w:rsid w:val="00955505"/>
    <w:rsid w:val="0097715F"/>
    <w:rsid w:val="009812AE"/>
    <w:rsid w:val="009C1CF7"/>
    <w:rsid w:val="009D0E5D"/>
    <w:rsid w:val="009D678D"/>
    <w:rsid w:val="009D6971"/>
    <w:rsid w:val="00A3727E"/>
    <w:rsid w:val="00A43CB1"/>
    <w:rsid w:val="00A63CC7"/>
    <w:rsid w:val="00A6505B"/>
    <w:rsid w:val="00A70320"/>
    <w:rsid w:val="00A97762"/>
    <w:rsid w:val="00AA3C13"/>
    <w:rsid w:val="00AB667B"/>
    <w:rsid w:val="00B27646"/>
    <w:rsid w:val="00B35E87"/>
    <w:rsid w:val="00B37234"/>
    <w:rsid w:val="00B51A39"/>
    <w:rsid w:val="00B62449"/>
    <w:rsid w:val="00B635A5"/>
    <w:rsid w:val="00B66DF1"/>
    <w:rsid w:val="00B7115E"/>
    <w:rsid w:val="00B73CDD"/>
    <w:rsid w:val="00B80FAA"/>
    <w:rsid w:val="00B84773"/>
    <w:rsid w:val="00B91FDD"/>
    <w:rsid w:val="00BA012F"/>
    <w:rsid w:val="00BA0166"/>
    <w:rsid w:val="00BB704E"/>
    <w:rsid w:val="00BC31F8"/>
    <w:rsid w:val="00BC3DE1"/>
    <w:rsid w:val="00BC40F3"/>
    <w:rsid w:val="00BE2DB5"/>
    <w:rsid w:val="00BE5500"/>
    <w:rsid w:val="00C11D54"/>
    <w:rsid w:val="00C17E50"/>
    <w:rsid w:val="00C417B8"/>
    <w:rsid w:val="00C62C97"/>
    <w:rsid w:val="00C92565"/>
    <w:rsid w:val="00CA4CFB"/>
    <w:rsid w:val="00CC1286"/>
    <w:rsid w:val="00CE322B"/>
    <w:rsid w:val="00CE37FD"/>
    <w:rsid w:val="00CE4236"/>
    <w:rsid w:val="00D118BB"/>
    <w:rsid w:val="00D14420"/>
    <w:rsid w:val="00D2575E"/>
    <w:rsid w:val="00D30FE0"/>
    <w:rsid w:val="00D350F4"/>
    <w:rsid w:val="00D35239"/>
    <w:rsid w:val="00D35B57"/>
    <w:rsid w:val="00D37077"/>
    <w:rsid w:val="00D517AC"/>
    <w:rsid w:val="00D523E0"/>
    <w:rsid w:val="00D56D99"/>
    <w:rsid w:val="00D613BB"/>
    <w:rsid w:val="00D6423D"/>
    <w:rsid w:val="00D70C6B"/>
    <w:rsid w:val="00D96DA6"/>
    <w:rsid w:val="00DB1B76"/>
    <w:rsid w:val="00E05340"/>
    <w:rsid w:val="00E072D8"/>
    <w:rsid w:val="00E1011F"/>
    <w:rsid w:val="00E377E4"/>
    <w:rsid w:val="00E46568"/>
    <w:rsid w:val="00E74887"/>
    <w:rsid w:val="00E87A66"/>
    <w:rsid w:val="00ED2452"/>
    <w:rsid w:val="00ED649D"/>
    <w:rsid w:val="00EE0A0B"/>
    <w:rsid w:val="00EE3BF7"/>
    <w:rsid w:val="00EF13F4"/>
    <w:rsid w:val="00F17C6A"/>
    <w:rsid w:val="00F2171B"/>
    <w:rsid w:val="00F31CAF"/>
    <w:rsid w:val="00F57223"/>
    <w:rsid w:val="00F6587D"/>
    <w:rsid w:val="00F92A77"/>
    <w:rsid w:val="00FB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A98B"/>
  <w15:docId w15:val="{BB493BA3-2F8B-470F-B467-C7E1889A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  <w:style w:type="paragraph" w:styleId="Akapitzlist">
    <w:name w:val="List Paragraph"/>
    <w:basedOn w:val="Normalny"/>
    <w:uiPriority w:val="34"/>
    <w:qFormat/>
    <w:rsid w:val="00E101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B704E"/>
    <w:pPr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1556,bqiaagaaeyqcaaagiaiaaan7bqaabykfaaaaaaaaaaaaaaaaaaaaaaaaaaaaaaaaaaaaaaaaaaaaaaaaaaaaaaaaaaaaaaaaaaaaaaaaaaaaaaaaaaaaaaaaaaaaaaaaaaaaaaaaaaaaaaaaaaaaaaaaaaaaaaaaaaaaaaaaaaaaaaaaaaaaaaaaaaaaaaaaaaaaaaaaaaaaaaaaaaaaaaaaaaaaaaaaaaaaaaaa"/>
    <w:basedOn w:val="Normalny"/>
    <w:rsid w:val="002B58E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30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667B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667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6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354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5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Daria Kobierska</cp:lastModifiedBy>
  <cp:revision>5</cp:revision>
  <dcterms:created xsi:type="dcterms:W3CDTF">2025-12-19T03:42:00Z</dcterms:created>
  <dcterms:modified xsi:type="dcterms:W3CDTF">2025-12-19T12:30:00Z</dcterms:modified>
</cp:coreProperties>
</file>